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6E1133">
      <w:pPr>
        <w:pStyle w:val="BodyNoIndent"/>
      </w:pPr>
      <w:commentRangeStart w:id="0"/>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C95F6C">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C95F6C">
      <w:pPr>
        <w:pStyle w:val="Body"/>
      </w:pPr>
      <w:r>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xml:space="preserve">. We then progress through a series of </w:t>
      </w:r>
      <w:r>
        <w:lastRenderedPageBreak/>
        <w:t>model refinements, starting with a basic linea</w:t>
      </w:r>
      <w:bookmarkStart w:id="2" w:name="_GoBack"/>
      <w:bookmarkEnd w:id="2"/>
      <w:r>
        <w:t>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092A7BAE" w14:textId="3DD76F05" w:rsidR="003E556D" w:rsidRDefault="003E556D" w:rsidP="00C95F6C">
      <w:pPr>
        <w:pStyle w:val="Body"/>
      </w:pPr>
      <w:r w:rsidRPr="003E556D">
        <w:rPr>
          <w:highlight w:val="yellow"/>
        </w:rPr>
        <w:t>Mention Bayes, random effects.</w:t>
      </w:r>
    </w:p>
    <w:p w14:paraId="2D4BC4D4" w14:textId="77777777"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3E556D">
      <w:pPr>
        <w:pStyle w:val="Heading1"/>
      </w:pPr>
      <w:commentRangeStart w:id="3"/>
      <w:r w:rsidRPr="00AB0820">
        <w:t>Background</w:t>
      </w:r>
      <w:commentRangeEnd w:id="3"/>
      <w:r w:rsidR="00EC4281">
        <w:rPr>
          <w:rStyle w:val="CommentReference"/>
          <w:rFonts w:ascii="Cambria Math" w:hAnsi="Cambria Math"/>
          <w:b w:val="0"/>
          <w:smallCaps w:val="0"/>
          <w:spacing w:val="0"/>
          <w:kern w:val="0"/>
        </w:rPr>
        <w:commentReference w:id="3"/>
      </w:r>
    </w:p>
    <w:p w14:paraId="3B63914C" w14:textId="5814E294" w:rsidR="00D37FB5" w:rsidRPr="00EC4281" w:rsidRDefault="00EC4281" w:rsidP="00C95F6C">
      <w:pPr>
        <w:rPr>
          <w:highlight w:val="yellow"/>
        </w:rPr>
      </w:pPr>
      <w:r>
        <w:rPr>
          <w:highlight w:val="yellow"/>
        </w:rPr>
        <w:t>TBD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proofErr w:type="spellStart"/>
      <w:r w:rsidRPr="00706A57">
        <w:rPr>
          <w:i/>
        </w:rPr>
        <w:t>r</w:t>
      </w:r>
      <w:r>
        <w:rPr>
          <w:i/>
        </w:rPr>
        <w:t xml:space="preserve"> </w:t>
      </w:r>
      <w:r>
        <w:t>at</w:t>
      </w:r>
      <w:proofErr w:type="spellEnd"/>
      <w:r>
        <w:t xml:space="preserve"> which they 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lastRenderedPageBreak/>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131D9884" w:rsidR="006515FD" w:rsidRPr="005F43DA" w:rsidRDefault="009B017E" w:rsidP="006E1133">
      <w:pPr>
        <w:pStyle w:val="BodyNoIndent"/>
      </w:pPr>
      <w:r>
        <w:t xml:space="preserve">Visualizations and directions were typically analysed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completing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Pr="00F63D98" w:rsidRDefault="00A37D0A" w:rsidP="00C95F6C">
      <w:pPr>
        <w:pStyle w:val="Heading2"/>
      </w:pPr>
      <w:r>
        <w:t xml:space="preserve">Harrison </w:t>
      </w:r>
      <w:r w:rsidRPr="00F50400">
        <w:rPr>
          <w:i/>
        </w:rPr>
        <w:t>et al</w:t>
      </w:r>
      <w:r>
        <w:t>. analysis</w:t>
      </w:r>
    </w:p>
    <w:p w14:paraId="7E103CB2" w14:textId="360837B8" w:rsidR="000E1078" w:rsidRDefault="005F43DA" w:rsidP="006E1133">
      <w:pPr>
        <w:pStyle w:val="BodyNoIndent"/>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1">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4" w:name="_Ref415505730"/>
                            <w:r>
                              <w:t xml:space="preserve">Fig. </w:t>
                            </w:r>
                            <w:r>
                              <w:fldChar w:fldCharType="begin"/>
                            </w:r>
                            <w:r>
                              <w:instrText xml:space="preserve"> SEQ Fig. \* ARABIC </w:instrText>
                            </w:r>
                            <w:r>
                              <w:fldChar w:fldCharType="separate"/>
                            </w:r>
                            <w:r w:rsidR="00DE242E">
                              <w:rPr>
                                <w:noProof/>
                              </w:rPr>
                              <w:t>1</w:t>
                            </w:r>
                            <w:r>
                              <w:fldChar w:fldCharType="end"/>
                            </w:r>
                            <w:bookmarkEnd w:id="4"/>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1">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5" w:name="_Ref415505730"/>
                      <w:r>
                        <w:t xml:space="preserve">Fig. </w:t>
                      </w:r>
                      <w:r>
                        <w:fldChar w:fldCharType="begin"/>
                      </w:r>
                      <w:r>
                        <w:instrText xml:space="preserve"> SEQ Fig. \* ARABIC </w:instrText>
                      </w:r>
                      <w:r>
                        <w:fldChar w:fldCharType="separate"/>
                      </w:r>
                      <w:r w:rsidR="00DE242E">
                        <w:rPr>
                          <w:noProof/>
                        </w:rPr>
                        <w:t>1</w:t>
                      </w:r>
                      <w:r>
                        <w:fldChar w:fldCharType="end"/>
                      </w:r>
                      <w:bookmarkEnd w:id="5"/>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an analysis approach common in prior work </w:t>
      </w:r>
      <w:r w:rsidR="002E5C04">
        <w:t>on</w:t>
      </w:r>
      <w:r w:rsidR="000E1078">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DE242E">
        <w:t xml:space="preserve">Fig. </w:t>
      </w:r>
      <w:r w:rsidR="00DE242E">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CB0C3DE"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2C6DE2">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"[4]", "plainTextFormattedCitation" : "[4]", "previouslyFormattedCitation" : "[4]" }, "properties" : { "noteIndex" : 0 }, "schema" : "https://github.com/citation-style-language/schema/raw/master/csl-citation.json" }</w:instrText>
      </w:r>
      <w:r w:rsidR="00D87AE0">
        <w:fldChar w:fldCharType="separate"/>
      </w:r>
      <w:r w:rsidR="00D87AE0" w:rsidRPr="00D87AE0">
        <w:rPr>
          <w:noProof/>
        </w:rPr>
        <w:t>[4]</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visualizations of circles on maps. </w:t>
      </w:r>
      <w:r w:rsidR="00634CA6" w:rsidRPr="00C01902">
        <w:t xml:space="preserve">From a design </w:t>
      </w:r>
      <w:r w:rsidRPr="00C01902">
        <w:t>pers</w:t>
      </w:r>
      <w:r w:rsidR="00A71C65" w:rsidRPr="00C01902">
        <w:t>pective</w:t>
      </w:r>
      <w:r w:rsidRPr="00C01902">
        <w:t xml:space="preserve">, this </w:t>
      </w:r>
      <w:r w:rsidR="00634CA6" w:rsidRPr="00C01902">
        <w:t>is not un</w:t>
      </w:r>
      <w:r w:rsidRPr="00C01902">
        <w:t xml:space="preserve">like </w:t>
      </w:r>
      <w:r w:rsidR="00A71C65" w:rsidRPr="00C01902">
        <w:t xml:space="preserve">an architect </w:t>
      </w:r>
      <w:r w:rsidR="00634CA6" w:rsidRPr="00C01902">
        <w:t>who designs</w:t>
      </w:r>
      <w:r w:rsidRPr="00C01902">
        <w:t xml:space="preserve"> </w:t>
      </w:r>
      <w:r w:rsidR="00634CA6" w:rsidRPr="00C01902">
        <w:t>every home</w:t>
      </w:r>
      <w:r w:rsidRPr="00C01902">
        <w:t xml:space="preserve"> for the average family of 2.6 people</w:t>
      </w:r>
      <w:r w:rsidR="00980D3C" w:rsidRPr="00C01902">
        <w:t>. Individuals</w:t>
      </w:r>
      <w:r w:rsidR="002E5C04" w:rsidRPr="00C01902">
        <w:t>, not group means,</w:t>
      </w:r>
      <w:r w:rsidR="00980D3C" w:rsidRPr="00C01902">
        <w:t xml:space="preserve"> digest visualizations.</w:t>
      </w:r>
    </w:p>
    <w:p w14:paraId="1916385C" w14:textId="2B9EDD53" w:rsidR="00980D3C" w:rsidRDefault="00EC4281" w:rsidP="00C95F6C">
      <w:pPr>
        <w:pStyle w:val="Body"/>
      </w:pPr>
      <w:r>
        <w:t>Only a</w:t>
      </w:r>
      <w:r w:rsidR="00D87AE0">
        <w:t xml:space="preserve">nalysing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29A525D1" w:rsidR="002E5C04" w:rsidRDefault="002E5C04" w:rsidP="00C95F6C">
      <w:pPr>
        <w:pStyle w:val="Body"/>
      </w:pPr>
      <w:commentRangeStart w:id="6"/>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6"/>
      <w:r w:rsidR="00A71C65">
        <w:rPr>
          <w:rStyle w:val="CommentReference"/>
          <w:rFonts w:ascii="Cambria Math" w:hAnsi="Cambria Math"/>
        </w:rPr>
        <w:commentReference w:id="6"/>
      </w:r>
      <w:r>
        <w:t xml:space="preserve">. Indeed, despite being a paper that proposes a parametric model to describe the performance of each visualization, Harrison </w:t>
      </w:r>
      <w:r w:rsidRPr="00F50400">
        <w:rPr>
          <w:i/>
        </w:rPr>
        <w:t>et al</w:t>
      </w:r>
      <w:r>
        <w:t>.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16BDD520" w:rsidR="004524B7" w:rsidRDefault="00A37D0A" w:rsidP="003E556D">
      <w:pPr>
        <w:pStyle w:val="Heading1"/>
      </w:pPr>
      <w:bookmarkStart w:id="7" w:name="_Ref415008636"/>
      <w:r w:rsidRPr="00AB0820">
        <w:t>Model</w:t>
      </w:r>
      <w:r w:rsidRPr="00AF146E">
        <w:t xml:space="preserve"> 1: Linear Model</w:t>
      </w:r>
      <w:bookmarkEnd w:id="7"/>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w:t>
      </w:r>
      <w:r>
        <w:lastRenderedPageBreak/>
        <w:t xml:space="preserve">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DC6C76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8" w:name="_Ref415065078"/>
                            <w:r w:rsidRPr="00E553A6">
                              <w:t xml:space="preserve">Fig. </w:t>
                            </w:r>
                            <w:r w:rsidRPr="00E553A6">
                              <w:fldChar w:fldCharType="begin"/>
                            </w:r>
                            <w:r w:rsidRPr="00E553A6">
                              <w:instrText xml:space="preserve"> SEQ Fig. \* ARABIC </w:instrText>
                            </w:r>
                            <w:r w:rsidRPr="00E553A6">
                              <w:fldChar w:fldCharType="separate"/>
                            </w:r>
                            <w:r w:rsidR="00DE242E">
                              <w:rPr>
                                <w:noProof/>
                              </w:rPr>
                              <w:t>2</w:t>
                            </w:r>
                            <w:r w:rsidRPr="00E553A6">
                              <w:fldChar w:fldCharType="end"/>
                            </w:r>
                            <w:bookmarkEnd w:id="8"/>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9" w:name="_Ref415065078"/>
                      <w:r w:rsidRPr="00E553A6">
                        <w:t xml:space="preserve">Fig. </w:t>
                      </w:r>
                      <w:r w:rsidRPr="00E553A6">
                        <w:fldChar w:fldCharType="begin"/>
                      </w:r>
                      <w:r w:rsidRPr="00E553A6">
                        <w:instrText xml:space="preserve"> SEQ Fig. \* ARABIC </w:instrText>
                      </w:r>
                      <w:r w:rsidRPr="00E553A6">
                        <w:fldChar w:fldCharType="separate"/>
                      </w:r>
                      <w:r w:rsidR="00DE242E">
                        <w:rPr>
                          <w:noProof/>
                        </w:rPr>
                        <w:t>2</w:t>
                      </w:r>
                      <w:r w:rsidRPr="00E553A6">
                        <w:fldChar w:fldCharType="end"/>
                      </w:r>
                      <w:bookmarkEnd w:id="9"/>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8B7DE6"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DE242E">
        <w:t xml:space="preserve">Fig. </w:t>
      </w:r>
      <w:r w:rsidR="00DE242E">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DE242E">
        <w:t xml:space="preserve">Fig. </w:t>
      </w:r>
      <w:r w:rsidR="00DE242E">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10" w:name="_Ref415008651"/>
      <w:r w:rsidRPr="00AF146E">
        <w:t>Model 2: Log-Linear Model</w:t>
      </w:r>
      <w:bookmarkEnd w:id="10"/>
    </w:p>
    <w:p w14:paraId="5E3AD50E" w14:textId="4C187CD8"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m:t>
        </m:r>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 xml:space="preserve">the linear </w:t>
      </w:r>
      <w:r w:rsidR="008560D3">
        <w:lastRenderedPageBreak/>
        <w:t>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77777777" w:rsidR="008560D3" w:rsidRDefault="008560D3" w:rsidP="006E1133">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188E66"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1" w:name="_Ref415007748"/>
                            <w:r>
                              <w:t xml:space="preserve">Fig. </w:t>
                            </w:r>
                            <w:r>
                              <w:fldChar w:fldCharType="begin"/>
                            </w:r>
                            <w:r>
                              <w:instrText xml:space="preserve"> SEQ Fig. \* ARABIC </w:instrText>
                            </w:r>
                            <w:r>
                              <w:fldChar w:fldCharType="separate"/>
                            </w:r>
                            <w:r w:rsidR="00DE242E">
                              <w:rPr>
                                <w:noProof/>
                              </w:rPr>
                              <w:t>3</w:t>
                            </w:r>
                            <w:r>
                              <w:rPr>
                                <w:noProof/>
                              </w:rPr>
                              <w:fldChar w:fldCharType="end"/>
                            </w:r>
                            <w:bookmarkEnd w:id="11"/>
                            <w:r>
                              <w:t xml:space="preserve"> Comparison of fits of the linear model (Section </w:t>
                            </w:r>
                            <w:r>
                              <w:fldChar w:fldCharType="begin"/>
                            </w:r>
                            <w:r>
                              <w:instrText xml:space="preserve"> REF _Ref415008636 \r \h </w:instrText>
                            </w:r>
                            <w:r>
                              <w:fldChar w:fldCharType="separate"/>
                            </w:r>
                            <w:r w:rsidR="00DE242E">
                              <w:t>3</w:t>
                            </w:r>
                            <w:r>
                              <w:fldChar w:fldCharType="end"/>
                            </w:r>
                            <w:r>
                              <w:t xml:space="preserve">) and the log-linear model (Section </w:t>
                            </w:r>
                            <w:r>
                              <w:fldChar w:fldCharType="begin"/>
                            </w:r>
                            <w:r>
                              <w:instrText xml:space="preserve"> REF _Ref415008651 \r \h </w:instrText>
                            </w:r>
                            <w:r>
                              <w:fldChar w:fldCharType="separate"/>
                            </w:r>
                            <w:r w:rsidR="00DE242E">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2" w:name="_Ref415007748"/>
                      <w:r>
                        <w:t xml:space="preserve">Fig. </w:t>
                      </w:r>
                      <w:r>
                        <w:fldChar w:fldCharType="begin"/>
                      </w:r>
                      <w:r>
                        <w:instrText xml:space="preserve"> SEQ Fig. \* ARABIC </w:instrText>
                      </w:r>
                      <w:r>
                        <w:fldChar w:fldCharType="separate"/>
                      </w:r>
                      <w:r w:rsidR="00DE242E">
                        <w:rPr>
                          <w:noProof/>
                        </w:rPr>
                        <w:t>3</w:t>
                      </w:r>
                      <w:r>
                        <w:rPr>
                          <w:noProof/>
                        </w:rPr>
                        <w:fldChar w:fldCharType="end"/>
                      </w:r>
                      <w:bookmarkEnd w:id="12"/>
                      <w:r>
                        <w:t xml:space="preserve"> Comparison of fits of the linear model (Section </w:t>
                      </w:r>
                      <w:r>
                        <w:fldChar w:fldCharType="begin"/>
                      </w:r>
                      <w:r>
                        <w:instrText xml:space="preserve"> REF _Ref415008636 \r \h </w:instrText>
                      </w:r>
                      <w:r>
                        <w:fldChar w:fldCharType="separate"/>
                      </w:r>
                      <w:r w:rsidR="00DE242E">
                        <w:t>3</w:t>
                      </w:r>
                      <w:r>
                        <w:fldChar w:fldCharType="end"/>
                      </w:r>
                      <w:r>
                        <w:t xml:space="preserve">) and the log-linear model (Section </w:t>
                      </w:r>
                      <w:r>
                        <w:fldChar w:fldCharType="begin"/>
                      </w:r>
                      <w:r>
                        <w:instrText xml:space="preserve"> REF _Ref415008651 \r \h </w:instrText>
                      </w:r>
                      <w:r>
                        <w:fldChar w:fldCharType="separate"/>
                      </w:r>
                      <w:r w:rsidR="00DE242E">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2D368442"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C95F6C">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3E556D">
      <w:pPr>
        <w:pStyle w:val="Heading1"/>
      </w:pPr>
      <w:bookmarkStart w:id="13" w:name="_Ref415409868"/>
      <w:r w:rsidRPr="00AF146E">
        <w:t>Model 3: Censored Log-Linear Model</w:t>
      </w:r>
      <w:bookmarkEnd w:id="13"/>
    </w:p>
    <w:p w14:paraId="5498328E" w14:textId="0C458822"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2C6DE2">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"[5], [6]", "plainTextFormattedCitation" : "[5], [6]", "previouslyFormattedCitation" : "[5], [6]" }, "properties" : { "noteIndex" : 0 }, "schema" : "https://github.com/citation-style-language/schema/raw/master/csl-citation.json" }</w:instrText>
      </w:r>
      <w:r w:rsidR="008154CE" w:rsidRPr="008154CE">
        <w:fldChar w:fldCharType="separate"/>
      </w:r>
      <w:r w:rsidR="00D87AE0" w:rsidRPr="00D87AE0">
        <w:rPr>
          <w:noProof/>
        </w:rPr>
        <w:t>[5], [6]</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DE242E">
        <w:t xml:space="preserve">Fig. </w:t>
      </w:r>
      <w:r w:rsidR="00DE242E">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lastRenderedPageBreak/>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512C9E" w:rsidRDefault="00512C9E"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4">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305BDC8F" w:rsidR="00512C9E" w:rsidRPr="00512C9E" w:rsidRDefault="00512C9E" w:rsidP="00512C9E">
                            <w:pPr>
                              <w:pStyle w:val="FigureCaption"/>
                              <w:rPr>
                                <w:rFonts w:ascii="Times" w:hAnsi="Times"/>
                                <w:b/>
                                <w:noProof/>
                                <w:sz w:val="18"/>
                              </w:rPr>
                            </w:pPr>
                            <w:bookmarkStart w:id="14" w:name="_Ref415530909"/>
                            <w:r>
                              <w:t xml:space="preserve">Fig. </w:t>
                            </w:r>
                            <w:r>
                              <w:fldChar w:fldCharType="begin"/>
                            </w:r>
                            <w:r>
                              <w:instrText xml:space="preserve"> SEQ Fig. \* ARABIC </w:instrText>
                            </w:r>
                            <w:r>
                              <w:fldChar w:fldCharType="separate"/>
                            </w:r>
                            <w:r w:rsidR="00DE242E">
                              <w:rPr>
                                <w:noProof/>
                              </w:rPr>
                              <w:t>4</w:t>
                            </w:r>
                            <w:r>
                              <w:fldChar w:fldCharType="end"/>
                            </w:r>
                            <w:bookmarkEnd w:id="14"/>
                            <w:r>
                              <w:t xml:space="preserve">. Data in two </w:t>
                            </w:r>
                            <w:r>
                              <w:t>visualization </w:t>
                            </w:r>
                            <w:r w:rsidRPr="00DA164E">
                              <w:t>×</w:t>
                            </w:r>
                            <w:r>
                              <w:t> direction pairs</w:t>
                            </w:r>
                            <w:r>
                              <w:t xml:space="preserve"> for approach </w:t>
                            </w:r>
                            <w:r w:rsidRPr="00512C9E">
                              <w:rPr>
                                <w:i/>
                              </w:rPr>
                              <w:t>from above</w:t>
                            </w:r>
                            <w:r>
                              <w:t>. The two ceilings used to derive censoring thresholds for this approach are indicated. Note how data bunches up below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512C9E" w:rsidRDefault="00512C9E"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4">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305BDC8F" w:rsidR="00512C9E" w:rsidRPr="00512C9E" w:rsidRDefault="00512C9E" w:rsidP="00512C9E">
                      <w:pPr>
                        <w:pStyle w:val="FigureCaption"/>
                        <w:rPr>
                          <w:rFonts w:ascii="Times" w:hAnsi="Times"/>
                          <w:b/>
                          <w:noProof/>
                          <w:sz w:val="18"/>
                        </w:rPr>
                      </w:pPr>
                      <w:bookmarkStart w:id="15" w:name="_Ref415530909"/>
                      <w:r>
                        <w:t xml:space="preserve">Fig. </w:t>
                      </w:r>
                      <w:r>
                        <w:fldChar w:fldCharType="begin"/>
                      </w:r>
                      <w:r>
                        <w:instrText xml:space="preserve"> SEQ Fig. \* ARABIC </w:instrText>
                      </w:r>
                      <w:r>
                        <w:fldChar w:fldCharType="separate"/>
                      </w:r>
                      <w:r w:rsidR="00DE242E">
                        <w:rPr>
                          <w:noProof/>
                        </w:rPr>
                        <w:t>4</w:t>
                      </w:r>
                      <w:r>
                        <w:fldChar w:fldCharType="end"/>
                      </w:r>
                      <w:bookmarkEnd w:id="15"/>
                      <w:r>
                        <w:t xml:space="preserve">. Data in two </w:t>
                      </w:r>
                      <w:r>
                        <w:t>visualization </w:t>
                      </w:r>
                      <w:r w:rsidRPr="00DA164E">
                        <w:t>×</w:t>
                      </w:r>
                      <w:r>
                        <w:t> direction pairs</w:t>
                      </w:r>
                      <w:r>
                        <w:t xml:space="preserve"> for approach </w:t>
                      </w:r>
                      <w:r w:rsidRPr="00512C9E">
                        <w:rPr>
                          <w:i/>
                        </w:rPr>
                        <w:t>from above</w:t>
                      </w:r>
                      <w:r>
                        <w:t>. The two ceilings used to derive censoring thresholds for this approach are indicated. Note how data bunches up below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EC4281" w:rsidRDefault="00EC4281"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6" w:name="_Ref415264541"/>
                            <w:r>
                              <w:t xml:space="preserve">Fig. </w:t>
                            </w:r>
                            <w:r>
                              <w:fldChar w:fldCharType="begin"/>
                            </w:r>
                            <w:r>
                              <w:instrText xml:space="preserve"> SEQ Fig. \* ARABIC </w:instrText>
                            </w:r>
                            <w:r>
                              <w:fldChar w:fldCharType="separate"/>
                            </w:r>
                            <w:r w:rsidR="00DE242E">
                              <w:rPr>
                                <w:noProof/>
                              </w:rPr>
                              <w:t>5</w:t>
                            </w:r>
                            <w:r>
                              <w:fldChar w:fldCharType="end"/>
                            </w:r>
                            <w:bookmarkEnd w:id="16"/>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EC4281" w:rsidRDefault="00EC4281"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7" w:name="_Ref415264541"/>
                      <w:r>
                        <w:t xml:space="preserve">Fig. </w:t>
                      </w:r>
                      <w:r>
                        <w:fldChar w:fldCharType="begin"/>
                      </w:r>
                      <w:r>
                        <w:instrText xml:space="preserve"> SEQ Fig. \* ARABIC </w:instrText>
                      </w:r>
                      <w:r>
                        <w:fldChar w:fldCharType="separate"/>
                      </w:r>
                      <w:r w:rsidR="00DE242E">
                        <w:rPr>
                          <w:noProof/>
                        </w:rPr>
                        <w:t>5</w:t>
                      </w:r>
                      <w:r>
                        <w:fldChar w:fldCharType="end"/>
                      </w:r>
                      <w:bookmarkEnd w:id="17"/>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B444F8">
        <w:t>)</w:t>
      </w:r>
      <w:r w:rsidR="002C6DE2">
        <w:t>.</w:t>
      </w:r>
    </w:p>
    <w:p w14:paraId="02C034D0" w14:textId="26DA6EBB"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EE0A4D" w:rsidRDefault="00EE0A4D"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6">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468B82E3" w:rsidR="00EE0A4D" w:rsidRPr="00EE0A4D" w:rsidRDefault="00EE0A4D" w:rsidP="00EE0A4D">
                            <w:pPr>
                              <w:pStyle w:val="FigureCaption"/>
                            </w:pPr>
                            <w:bookmarkStart w:id="18" w:name="_Ref415530912"/>
                            <w:r>
                              <w:t xml:space="preserve">Fig. </w:t>
                            </w:r>
                            <w:r>
                              <w:fldChar w:fldCharType="begin"/>
                            </w:r>
                            <w:r>
                              <w:instrText xml:space="preserve"> SEQ Fig. \* ARABIC </w:instrText>
                            </w:r>
                            <w:r>
                              <w:fldChar w:fldCharType="separate"/>
                            </w:r>
                            <w:r w:rsidR="00DE242E">
                              <w:rPr>
                                <w:noProof/>
                              </w:rPr>
                              <w:t>6</w:t>
                            </w:r>
                            <w:r>
                              <w:fldChar w:fldCharType="end"/>
                            </w:r>
                            <w:bookmarkEnd w:id="18"/>
                            <w:r>
                              <w:t xml:space="preserve">. </w:t>
                            </w:r>
                            <w:r>
                              <w:t>Data in two visualization </w:t>
                            </w:r>
                            <w:r w:rsidRPr="00DA164E">
                              <w:t>×</w:t>
                            </w:r>
                            <w:r>
                              <w:t xml:space="preserve"> direction pairs for approach </w:t>
                            </w:r>
                            <w:r w:rsidRPr="00512C9E">
                              <w:rPr>
                                <w:i/>
                              </w:rPr>
                              <w:t xml:space="preserve">from </w:t>
                            </w:r>
                            <w:r w:rsidR="00D87CFD">
                              <w:rPr>
                                <w:i/>
                              </w:rPr>
                              <w:t>below</w:t>
                            </w:r>
                            <w:r>
                              <w:t>. The two ceilings used to derive censoring thresholds for this approach are indicated. Note how data bunches up below those thresho</w:t>
                            </w:r>
                            <w:r w:rsidR="00D87CFD">
                              <w:t>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OGi6aM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EE0A4D" w:rsidRDefault="00EE0A4D"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6">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468B82E3" w:rsidR="00EE0A4D" w:rsidRPr="00EE0A4D" w:rsidRDefault="00EE0A4D" w:rsidP="00EE0A4D">
                      <w:pPr>
                        <w:pStyle w:val="FigureCaption"/>
                      </w:pPr>
                      <w:bookmarkStart w:id="19" w:name="_Ref415530912"/>
                      <w:r>
                        <w:t xml:space="preserve">Fig. </w:t>
                      </w:r>
                      <w:r>
                        <w:fldChar w:fldCharType="begin"/>
                      </w:r>
                      <w:r>
                        <w:instrText xml:space="preserve"> SEQ Fig. \* ARABIC </w:instrText>
                      </w:r>
                      <w:r>
                        <w:fldChar w:fldCharType="separate"/>
                      </w:r>
                      <w:r w:rsidR="00DE242E">
                        <w:rPr>
                          <w:noProof/>
                        </w:rPr>
                        <w:t>6</w:t>
                      </w:r>
                      <w:r>
                        <w:fldChar w:fldCharType="end"/>
                      </w:r>
                      <w:bookmarkEnd w:id="19"/>
                      <w:r>
                        <w:t xml:space="preserve">. </w:t>
                      </w:r>
                      <w:r>
                        <w:t>Data in two visualization </w:t>
                      </w:r>
                      <w:r w:rsidRPr="00DA164E">
                        <w:t>×</w:t>
                      </w:r>
                      <w:r>
                        <w:t xml:space="preserve"> direction pairs for approach </w:t>
                      </w:r>
                      <w:r w:rsidRPr="00512C9E">
                        <w:rPr>
                          <w:i/>
                        </w:rPr>
                        <w:t xml:space="preserve">from </w:t>
                      </w:r>
                      <w:r w:rsidR="00D87CFD">
                        <w:rPr>
                          <w:i/>
                        </w:rPr>
                        <w:t>below</w:t>
                      </w:r>
                      <w:r>
                        <w:t>. The two ceilings used to derive censoring thresholds for this approach are indicated. Note how data bunches up below those thresho</w:t>
                      </w:r>
                      <w:r w:rsidR="00D87CFD">
                        <w:t>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2C6DE2">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2C23AB2B"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thresholds, which was chosen to </w:t>
      </w:r>
      <w:proofErr w:type="spellStart"/>
      <w:proofErr w:type="gramStart"/>
      <w:r w:rsidR="00B444F8">
        <w:t>based</w:t>
      </w:r>
      <w:proofErr w:type="spellEnd"/>
      <w:proofErr w:type="gramEnd"/>
      <w:r w:rsidR="00B444F8">
        <w:t xml:space="preserve"> on examining plots like </w:t>
      </w:r>
      <w:r w:rsidR="00D87CFD">
        <w:fldChar w:fldCharType="begin"/>
      </w:r>
      <w:r w:rsidR="00D87CFD">
        <w:instrText xml:space="preserve"> REF _Ref415530909 \h </w:instrText>
      </w:r>
      <w:r w:rsidR="00D87CFD">
        <w:fldChar w:fldCharType="separate"/>
      </w:r>
      <w:r w:rsidR="00DE242E">
        <w:t xml:space="preserve">Fig. </w:t>
      </w:r>
      <w:r w:rsidR="00DE242E">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DE242E">
        <w:t xml:space="preserve">Fig. </w:t>
      </w:r>
      <w:r w:rsidR="00DE242E">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r w:rsidR="00263093">
        <w:t xml:space="preserve"> </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2DF6F238" w:rsidR="00047789" w:rsidRDefault="00C01902" w:rsidP="00C95F6C">
      <w:pPr>
        <w:pStyle w:val="Body"/>
      </w:pPr>
      <w:r>
        <w:rPr>
          <w:noProof/>
        </w:rPr>
        <mc:AlternateContent>
          <mc:Choice Requires="wps">
            <w:drawing>
              <wp:anchor distT="0" distB="0" distL="114300" distR="114300" simplePos="0" relativeHeight="251690496" behindDoc="0" locked="0" layoutInCell="1" allowOverlap="1" wp14:anchorId="28319654" wp14:editId="31E2920F">
                <wp:simplePos x="0" y="0"/>
                <wp:positionH relativeFrom="margin">
                  <wp:align>right</wp:align>
                </wp:positionH>
                <wp:positionV relativeFrom="page">
                  <wp:posOffset>5570220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C01902" w:rsidRDefault="00C01902"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7">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C01902" w:rsidRPr="00C01902" w:rsidRDefault="00C01902" w:rsidP="00C01902">
                            <w:pPr>
                              <w:pStyle w:val="FigureCaption"/>
                            </w:pPr>
                            <w:bookmarkStart w:id="20" w:name="_Ref415533129"/>
                            <w:r>
                              <w:t xml:space="preserve">Fig. </w:t>
                            </w:r>
                            <w:r>
                              <w:fldChar w:fldCharType="begin"/>
                            </w:r>
                            <w:r>
                              <w:instrText xml:space="preserve"> SEQ Fig. \* ARABIC </w:instrText>
                            </w:r>
                            <w:r>
                              <w:fldChar w:fldCharType="separate"/>
                            </w:r>
                            <w:r w:rsidR="00DE242E">
                              <w:rPr>
                                <w:noProof/>
                              </w:rPr>
                              <w:t>7</w:t>
                            </w:r>
                            <w:r>
                              <w:fldChar w:fldCharType="end"/>
                            </w:r>
                            <w:bookmarkEnd w:id="20"/>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199.35pt;margin-top:438.6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" stroked="f">
                <v:textbox style="mso-fit-shape-to-text:t" inset="0,0,0,0">
                  <w:txbxContent>
                    <w:p w14:paraId="76DA706F" w14:textId="00372166" w:rsidR="00C01902" w:rsidRDefault="00C01902"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7">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C01902" w:rsidRPr="00C01902" w:rsidRDefault="00C01902" w:rsidP="00C01902">
                      <w:pPr>
                        <w:pStyle w:val="FigureCaption"/>
                      </w:pPr>
                      <w:bookmarkStart w:id="21" w:name="_Ref415533129"/>
                      <w:r>
                        <w:t xml:space="preserve">Fig. </w:t>
                      </w:r>
                      <w:r>
                        <w:fldChar w:fldCharType="begin"/>
                      </w:r>
                      <w:r>
                        <w:instrText xml:space="preserve"> SEQ Fig. \* ARABIC </w:instrText>
                      </w:r>
                      <w:r>
                        <w:fldChar w:fldCharType="separate"/>
                      </w:r>
                      <w:r w:rsidR="00DE242E">
                        <w:rPr>
                          <w:noProof/>
                        </w:rPr>
                        <w:t>7</w:t>
                      </w:r>
                      <w:r>
                        <w:fldChar w:fldCharType="end"/>
                      </w:r>
                      <w:bookmarkEnd w:id="21"/>
                      <w:r>
                        <w:t>. Comparison of a model fit to all data for line-positive with or without censoring.</w:t>
                      </w:r>
                    </w:p>
                  </w:txbxContent>
                </v:textbox>
                <w10:wrap type="topAndBottom" anchorx="margin" anchory="page"/>
              </v:shape>
            </w:pict>
          </mc:Fallback>
        </mc:AlternateContent>
      </w:r>
    </w:p>
    <w:p w14:paraId="79175AA6" w14:textId="5E1F986A" w:rsidR="0004778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3862F850"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6D1590E9"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DE242E">
        <w:t xml:space="preserve">Fig. </w:t>
      </w:r>
      <w:r w:rsidR="00DE242E">
        <w:rPr>
          <w:noProof/>
        </w:rPr>
        <w:lastRenderedPageBreak/>
        <w:t>7</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3E556D">
      <w:pPr>
        <w:pStyle w:val="Heading1"/>
      </w:pPr>
      <w:r w:rsidRPr="00AF146E">
        <w:t>Model 4: Bayesian Censored Log-Linear Model</w:t>
      </w:r>
    </w:p>
    <w:p w14:paraId="01A5E787" w14:textId="2F2E9C69"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556FC032"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2C6DE2">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"[7]", "plainTextFormattedCitation" : "[7]", "previouslyFormattedCitation" : "[7]" }, "properties" : { "noteIndex" : 0 }, "schema" : "https://github.com/citation-style-language/schema/raw/master/csl-citation.json" }</w:instrText>
      </w:r>
      <w:r>
        <w:fldChar w:fldCharType="separate"/>
      </w:r>
      <w:r w:rsidR="00D87AE0" w:rsidRPr="00D87AE0">
        <w:rPr>
          <w:noProof/>
        </w:rPr>
        <w:t>[7]</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4E91835C" w:rsidR="00BC517A" w:rsidRPr="00BC517A" w:rsidRDefault="00D63964" w:rsidP="006E1133">
      <w:pPr>
        <w:pStyle w:val="BodyNoIndent"/>
      </w:pPr>
      <w:commentRangeStart w:id="22"/>
      <w:r>
        <w:t>As</w:t>
      </w:r>
      <w:commentRangeEnd w:id="22"/>
      <w:r w:rsidR="00806471">
        <w:rPr>
          <w:rStyle w:val="CommentReference"/>
          <w:rFonts w:ascii="Cambria Math" w:hAnsi="Cambria Math"/>
        </w:rPr>
        <w:commentReference w:id="22"/>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2C6DE2">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"[8]", "plainTextFormattedCitation" : "[8]", "previouslyFormattedCitation" : "[8]" }, "properties" : { "noteIndex" : 0 }, "schema" : "https://github.com/citation-style-language/schema/raw/master/csl-citation.json" }</w:instrText>
      </w:r>
      <w:r w:rsidR="00BC517A">
        <w:fldChar w:fldCharType="separate"/>
      </w:r>
      <w:r w:rsidR="00D87AE0" w:rsidRPr="00D87AE0">
        <w:rPr>
          <w:noProof/>
        </w:rPr>
        <w:t>[8]</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8B7DE6"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 xml:space="preserve">how similar different individuals’ estimations are </w:t>
      </w:r>
      <w:r w:rsidR="008154CE" w:rsidRPr="00970FB0">
        <w:lastRenderedPageBreak/>
        <w:t>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5DEF5F8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C95F6C"/>
    <w:p w14:paraId="0D10DF81" w14:textId="19188DB0" w:rsidR="008E3B65"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FC9CD1"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8B7DE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0DA36EEF"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the effect of </w:t>
      </w:r>
      <w:r w:rsidRPr="0070541A">
        <w:rPr>
          <w:i/>
        </w:rPr>
        <w:t>approach</w:t>
      </w:r>
      <w:r w:rsidR="00DA412A">
        <w:t>, which was around 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6E1133">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2B83D347"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2C6DE2">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"[9]", "plainTextFormattedCitation" : "[9]", "previouslyFormattedCitation" : "[9]" }, "properties" : { "noteIndex" : 0 }, "schema" : "https://github.com/citation-style-language/schema/raw/master/csl-citation.json" }</w:instrText>
      </w:r>
      <w:r w:rsidR="009F09AD">
        <w:fldChar w:fldCharType="separate"/>
      </w:r>
      <w:r w:rsidR="00D87AE0" w:rsidRPr="00D87AE0">
        <w:rPr>
          <w:noProof/>
        </w:rPr>
        <w:t>[9]</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23" w:name="_Ref415497565"/>
      <w:r>
        <w:t>Performance on a hypothetical set of datasets</w:t>
      </w:r>
      <w:bookmarkEnd w:id="23"/>
    </w:p>
    <w:p w14:paraId="5CE06FC2" w14:textId="03ED7425"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w:t>
      </w:r>
      <w:r>
        <w:lastRenderedPageBreak/>
        <w:t xml:space="preserve">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3E556D">
      <w:pPr>
        <w:pStyle w:val="Heading1"/>
      </w:pPr>
      <w:bookmarkStart w:id="24"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25" w:name="_Ref415447337"/>
                            <w:r>
                              <w:t xml:space="preserve">Fig. </w:t>
                            </w:r>
                            <w:r>
                              <w:fldChar w:fldCharType="begin"/>
                            </w:r>
                            <w:r>
                              <w:instrText xml:space="preserve"> SEQ Fig. \* ARABIC </w:instrText>
                            </w:r>
                            <w:r>
                              <w:fldChar w:fldCharType="separate"/>
                            </w:r>
                            <w:r w:rsidR="00DE242E">
                              <w:rPr>
                                <w:noProof/>
                              </w:rPr>
                              <w:t>8</w:t>
                            </w:r>
                            <w:r>
                              <w:fldChar w:fldCharType="end"/>
                            </w:r>
                            <w:bookmarkEnd w:id="25"/>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26" w:name="_Ref415447337"/>
                      <w:r>
                        <w:t xml:space="preserve">Fig. </w:t>
                      </w:r>
                      <w:r>
                        <w:fldChar w:fldCharType="begin"/>
                      </w:r>
                      <w:r>
                        <w:instrText xml:space="preserve"> SEQ Fig. \* ARABIC </w:instrText>
                      </w:r>
                      <w:r>
                        <w:fldChar w:fldCharType="separate"/>
                      </w:r>
                      <w:r w:rsidR="00DE242E">
                        <w:rPr>
                          <w:noProof/>
                        </w:rPr>
                        <w:t>8</w:t>
                      </w:r>
                      <w:r>
                        <w:fldChar w:fldCharType="end"/>
                      </w:r>
                      <w:bookmarkEnd w:id="26"/>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24"/>
    </w:p>
    <w:p w14:paraId="5B514602" w14:textId="5D6C1872"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 xml:space="preserve">geometric means </w:t>
      </w:r>
      <w:r w:rsidR="0075669D" w:rsidRPr="00B444F8">
        <w:rPr>
          <w:highlight w:val="yellow"/>
        </w:rPr>
        <w:t xml:space="preserve">(or </w:t>
      </w:r>
      <w:r w:rsidR="00F527AC" w:rsidRPr="00B444F8">
        <w:rPr>
          <w:highlight w:val="yellow"/>
        </w:rPr>
        <w:t>medians</w:t>
      </w:r>
      <w:r w:rsidR="0075669D" w:rsidRPr="00B444F8">
        <w:rPr>
          <w:highlight w:val="yellow"/>
        </w:rPr>
        <w:t>)</w:t>
      </w:r>
      <w:r w:rsidR="00F527AC">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7" w:name="_Ref415450095"/>
                            <w:r>
                              <w:t xml:space="preserve">Fig. </w:t>
                            </w:r>
                            <w:r>
                              <w:fldChar w:fldCharType="begin"/>
                            </w:r>
                            <w:r>
                              <w:instrText xml:space="preserve"> SEQ Fig. \* ARABIC </w:instrText>
                            </w:r>
                            <w:r>
                              <w:fldChar w:fldCharType="separate"/>
                            </w:r>
                            <w:r w:rsidR="00DE242E">
                              <w:rPr>
                                <w:noProof/>
                              </w:rPr>
                              <w:t>9</w:t>
                            </w:r>
                            <w:r>
                              <w:fldChar w:fldCharType="end"/>
                            </w:r>
                            <w:bookmarkEnd w:id="27"/>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8" w:name="_Ref415450095"/>
                      <w:r>
                        <w:t xml:space="preserve">Fig. </w:t>
                      </w:r>
                      <w:r>
                        <w:fldChar w:fldCharType="begin"/>
                      </w:r>
                      <w:r>
                        <w:instrText xml:space="preserve"> SEQ Fig. \* ARABIC </w:instrText>
                      </w:r>
                      <w:r>
                        <w:fldChar w:fldCharType="separate"/>
                      </w:r>
                      <w:r w:rsidR="00DE242E">
                        <w:rPr>
                          <w:noProof/>
                        </w:rPr>
                        <w:t>9</w:t>
                      </w:r>
                      <w:r>
                        <w:fldChar w:fldCharType="end"/>
                      </w:r>
                      <w:bookmarkEnd w:id="2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DE242E">
        <w:t xml:space="preserve">Fig. </w:t>
      </w:r>
      <w:r w:rsidR="00DE242E">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DE242E">
        <w:t xml:space="preserve">Fig. </w:t>
      </w:r>
      <w:r w:rsidR="00DE242E">
        <w:rPr>
          <w:noProof/>
        </w:rPr>
        <w:t>9</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609D63FB" w:rsidR="005A4756" w:rsidRDefault="005A4756" w:rsidP="006E1133">
      <w:pPr>
        <w:pStyle w:val="BodyNoIndent"/>
      </w:pPr>
      <w:r>
        <w:t xml:space="preserve">One implication of our work concerns the use of perceptual laws, such as Weber's and Steven's Laws. While valuable, these models should of course be subject to </w:t>
      </w:r>
      <w:r w:rsidR="005C3240">
        <w:t>scepticism</w:t>
      </w:r>
      <w:r>
        <w:t xml:space="preserve">. Avoiding premature theoretical commitment is a core tenet of exploratory data analysis </w:t>
      </w:r>
      <w:r>
        <w:fldChar w:fldCharType="begin" w:fldLock="1"/>
      </w:r>
      <w:r w:rsidR="002C6DE2">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"[10]", "plainTextFormattedCitation" : "[10]", "previouslyFormattedCitation" : "[10]" }, "properties" : { "noteIndex" : 0 }, "schema" : "https://github.com/citation-style-language/schema/raw/master/csl-citation.json" }</w:instrText>
      </w:r>
      <w:r>
        <w:fldChar w:fldCharType="separate"/>
      </w:r>
      <w:r w:rsidR="00D87AE0" w:rsidRPr="00D87AE0">
        <w:rPr>
          <w:noProof/>
        </w:rPr>
        <w:t>[10]</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6B6ADA4E"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2C6DE2">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"[11]"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despite the fairly approachable interpretation of them in our and others’ opinions </w:t>
      </w:r>
      <w:r w:rsidR="0075669D" w:rsidRPr="0075669D">
        <w:fldChar w:fldCharType="begin" w:fldLock="1"/>
      </w:r>
      <w:r w:rsidR="002C6DE2">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"[11]"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w:t>
      </w:r>
    </w:p>
    <w:p w14:paraId="209CB3DE" w14:textId="432C89B8" w:rsidR="00321CF1" w:rsidRDefault="00321CF1" w:rsidP="00C95F6C">
      <w:pPr>
        <w:pStyle w:val="Body"/>
      </w:pPr>
      <w:r>
        <w:t xml:space="preserve">We believe </w:t>
      </w:r>
      <w:r w:rsidR="00B55BC6">
        <w:t xml:space="preserve">that </w:t>
      </w:r>
      <w:r>
        <w:t xml:space="preserve">censored regression </w:t>
      </w:r>
      <w:r w:rsidR="000A534F">
        <w:t xml:space="preserve">would find broad </w:t>
      </w:r>
      <w:r>
        <w:t>applicability in this space</w:t>
      </w:r>
      <w:r w:rsidR="00B55BC6">
        <w:t xml:space="preserve"> as well</w:t>
      </w:r>
      <w:r>
        <w:t xml:space="preserve">. Our use of censoring allowed us to account for </w:t>
      </w:r>
      <w:proofErr w:type="spellStart"/>
      <w:r>
        <w:t>a</w:t>
      </w:r>
      <w:r w:rsidR="00B55BC6">
        <w:t>rtifacts</w:t>
      </w:r>
      <w:proofErr w:type="spellEnd"/>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73FC3E1E" w14:textId="77777777" w:rsidR="00B55BC6"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DE242E">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DE242E">
        <w:t>7</w:t>
      </w:r>
      <w:r w:rsidR="00321CF1">
        <w:fldChar w:fldCharType="end"/>
      </w:r>
      <w:r w:rsidR="00321CF1">
        <w:t>. By contrast, we believe that the log-linear model yields equally interpretable results to a linear model with substantially better fit, motivating its preference.</w:t>
      </w:r>
      <w:r w:rsidR="005C3240">
        <w:t xml:space="preserve"> </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lastRenderedPageBreak/>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w:t>
      </w:r>
      <w:proofErr w:type="spellStart"/>
      <w:r w:rsidR="000A534F">
        <w:t>centered</w:t>
      </w:r>
      <w:proofErr w:type="spellEnd"/>
      <w:r w:rsidR="000A534F">
        <w:t xml:space="preserve">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DE242E">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0AF075F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 of estimation of correlation by presenting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our results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bivariate 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29" w:name="_Ref6979508"/>
    <w:p w14:paraId="5315B0F7" w14:textId="0C5CA81B" w:rsidR="002C6DE2" w:rsidRPr="002C6DE2" w:rsidRDefault="00CA5B68" w:rsidP="00DE45AA">
      <w:pPr>
        <w:pStyle w:val="Referencenonumbers"/>
        <w:divId w:val="2101640441"/>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2C6DE2" w:rsidRPr="002C6DE2">
        <w:t>[1]</w:t>
      </w:r>
      <w:r w:rsidR="002C6DE2" w:rsidRPr="002C6DE2">
        <w:tab/>
        <w:t xml:space="preserve">L. Harrison, F. Yang, S. Franconeri, and R. Chang, “Ranking Visualizations of Correlation Using Weber’s Law,” </w:t>
      </w:r>
      <w:r w:rsidR="002C6DE2" w:rsidRPr="002C6DE2">
        <w:rPr>
          <w:i/>
          <w:iCs/>
        </w:rPr>
        <w:t>IEEE Trans. Vis. Comput. Graph.</w:t>
      </w:r>
      <w:r w:rsidR="002C6DE2" w:rsidRPr="002C6DE2">
        <w:t>, vol. 20, no. 12, pp. 1943–1952, 2014.</w:t>
      </w:r>
    </w:p>
    <w:p w14:paraId="0232CBC6" w14:textId="77777777" w:rsidR="002C6DE2" w:rsidRPr="002C6DE2" w:rsidRDefault="002C6DE2" w:rsidP="00DE45AA">
      <w:pPr>
        <w:pStyle w:val="Referencenonumbers"/>
        <w:divId w:val="2101640441"/>
      </w:pPr>
      <w:r w:rsidRPr="002C6DE2">
        <w:t>[2]</w:t>
      </w:r>
      <w:r w:rsidRPr="002C6DE2">
        <w:tab/>
        <w:t xml:space="preserve">R. A. Rensink and G. Baldridge, “The perception of correlation in scatterplots,” </w:t>
      </w:r>
      <w:r w:rsidRPr="002C6DE2">
        <w:rPr>
          <w:i/>
          <w:iCs/>
        </w:rPr>
        <w:t>Comput. Graph. Forum</w:t>
      </w:r>
      <w:r w:rsidRPr="002C6DE2">
        <w:t>, vol. 29, no. 3, pp. 1203–1210, 2010.</w:t>
      </w:r>
    </w:p>
    <w:p w14:paraId="71C02ED0" w14:textId="77777777" w:rsidR="002C6DE2" w:rsidRPr="002C6DE2" w:rsidRDefault="002C6DE2" w:rsidP="00DE45AA">
      <w:pPr>
        <w:pStyle w:val="Referencenonumbers"/>
        <w:divId w:val="2101640441"/>
      </w:pPr>
      <w:r w:rsidRPr="002C6DE2">
        <w:t>[3]</w:t>
      </w:r>
      <w:r w:rsidRPr="002C6DE2">
        <w:tab/>
        <w:t xml:space="preserve">T. Hastie, R. Tibshirani, and J. Friedman, </w:t>
      </w:r>
      <w:r w:rsidRPr="002C6DE2">
        <w:rPr>
          <w:i/>
          <w:iCs/>
        </w:rPr>
        <w:t>The elements of statistical learning: data mining, inference and prediction</w:t>
      </w:r>
      <w:r w:rsidRPr="002C6DE2">
        <w:t>, Second Edi. Springer, 2009.</w:t>
      </w:r>
    </w:p>
    <w:p w14:paraId="74D0D121" w14:textId="77777777" w:rsidR="002C6DE2" w:rsidRPr="002C6DE2" w:rsidRDefault="002C6DE2" w:rsidP="00DE45AA">
      <w:pPr>
        <w:pStyle w:val="Referencenonumbers"/>
        <w:divId w:val="2101640441"/>
      </w:pPr>
      <w:r w:rsidRPr="002C6DE2">
        <w:t>[4]</w:t>
      </w:r>
      <w:r w:rsidRPr="002C6DE2">
        <w:tab/>
        <w:t xml:space="preserve">W. S. Cleveland, C. S. Harris, and R. McGill, “Judgments of circle sizes on statistical maps,” </w:t>
      </w:r>
      <w:r w:rsidRPr="002C6DE2">
        <w:rPr>
          <w:i/>
          <w:iCs/>
        </w:rPr>
        <w:t>J. Am. Stat. Assoc.</w:t>
      </w:r>
      <w:r w:rsidRPr="002C6DE2">
        <w:t>, vol. 77, no. 379, pp. 541–547, 1982.</w:t>
      </w:r>
    </w:p>
    <w:p w14:paraId="09F3E198" w14:textId="77777777" w:rsidR="002C6DE2" w:rsidRPr="002C6DE2" w:rsidRDefault="002C6DE2" w:rsidP="00DE45AA">
      <w:pPr>
        <w:pStyle w:val="Referencenonumbers"/>
        <w:divId w:val="2101640441"/>
      </w:pPr>
      <w:r w:rsidRPr="002C6DE2">
        <w:t>[5]</w:t>
      </w:r>
      <w:r w:rsidRPr="002C6DE2">
        <w:tab/>
        <w:t xml:space="preserve">T. James, “Estimation of Relationships for Limited Dependent Variables,” </w:t>
      </w:r>
      <w:r w:rsidRPr="002C6DE2">
        <w:rPr>
          <w:i/>
          <w:iCs/>
        </w:rPr>
        <w:t>Econometrica</w:t>
      </w:r>
      <w:r w:rsidRPr="002C6DE2">
        <w:t>, vol. 26, no. 1, pp. 24–36, 1958.</w:t>
      </w:r>
    </w:p>
    <w:p w14:paraId="6C222868" w14:textId="77777777" w:rsidR="002C6DE2" w:rsidRPr="002C6DE2" w:rsidRDefault="002C6DE2" w:rsidP="00DE45AA">
      <w:pPr>
        <w:pStyle w:val="Referencenonumbers"/>
        <w:divId w:val="2101640441"/>
      </w:pPr>
      <w:r w:rsidRPr="002C6DE2">
        <w:t>[6]</w:t>
      </w:r>
      <w:r w:rsidRPr="002C6DE2">
        <w:tab/>
        <w:t xml:space="preserve">T. Amemiya, “Tobit models: A survey,” </w:t>
      </w:r>
      <w:r w:rsidRPr="002C6DE2">
        <w:rPr>
          <w:i/>
          <w:iCs/>
        </w:rPr>
        <w:t>J. Econom.</w:t>
      </w:r>
      <w:r w:rsidRPr="002C6DE2">
        <w:t>, vol. 24, pp. 3–61, 1984.</w:t>
      </w:r>
    </w:p>
    <w:p w14:paraId="757513B7" w14:textId="77777777" w:rsidR="002C6DE2" w:rsidRPr="002C6DE2" w:rsidRDefault="002C6DE2" w:rsidP="00DE45AA">
      <w:pPr>
        <w:pStyle w:val="Referencenonumbers"/>
        <w:divId w:val="2101640441"/>
      </w:pPr>
      <w:r w:rsidRPr="002C6DE2">
        <w:t>[7]</w:t>
      </w:r>
      <w:r w:rsidRPr="002C6DE2">
        <w:tab/>
        <w:t xml:space="preserve">J. K. Kruschke, </w:t>
      </w:r>
      <w:r w:rsidRPr="002C6DE2">
        <w:rPr>
          <w:i/>
          <w:iCs/>
        </w:rPr>
        <w:t>Doing Bayesian Data Analysis</w:t>
      </w:r>
      <w:r w:rsidRPr="002C6DE2">
        <w:t>. Elsevier Inc., 2011.</w:t>
      </w:r>
    </w:p>
    <w:p w14:paraId="27825017" w14:textId="77777777" w:rsidR="002C6DE2" w:rsidRPr="002C6DE2" w:rsidRDefault="002C6DE2" w:rsidP="00DE45AA">
      <w:pPr>
        <w:pStyle w:val="Referencenonumbers"/>
        <w:divId w:val="2101640441"/>
      </w:pPr>
      <w:r w:rsidRPr="002C6DE2">
        <w:t>[8]</w:t>
      </w:r>
      <w:r w:rsidRPr="002C6DE2">
        <w:tab/>
        <w:t xml:space="preserve">S. H. . Hurlbert, “Pseudoreplication and the Design of Ecological Field Experiments,” </w:t>
      </w:r>
      <w:r w:rsidRPr="002C6DE2">
        <w:rPr>
          <w:i/>
          <w:iCs/>
        </w:rPr>
        <w:t>Ecol. Monogr.</w:t>
      </w:r>
      <w:r w:rsidRPr="002C6DE2">
        <w:t>, vol. 54, no. 2, pp. 187–211, 1984.</w:t>
      </w:r>
    </w:p>
    <w:p w14:paraId="4D473887" w14:textId="77777777" w:rsidR="002C6DE2" w:rsidRPr="002C6DE2" w:rsidRDefault="002C6DE2" w:rsidP="00DE45AA">
      <w:pPr>
        <w:pStyle w:val="Referencenonumbers"/>
        <w:divId w:val="2101640441"/>
      </w:pPr>
      <w:r w:rsidRPr="002C6DE2">
        <w:lastRenderedPageBreak/>
        <w:t>[9]</w:t>
      </w:r>
      <w:r w:rsidRPr="002C6DE2">
        <w:tab/>
        <w:t xml:space="preserve">M. Plummer, “JAGS: A Program for Analysis of Bayesian Graphical Models Using Gibbs Sampling,” </w:t>
      </w:r>
      <w:r w:rsidRPr="002C6DE2">
        <w:rPr>
          <w:i/>
          <w:iCs/>
        </w:rPr>
        <w:t>Proc. 3rd Int. Work. Distrib. Stat. Comput. (DSC 2003)</w:t>
      </w:r>
      <w:r w:rsidRPr="002C6DE2">
        <w:t>, 2003.</w:t>
      </w:r>
    </w:p>
    <w:p w14:paraId="40507965" w14:textId="77777777" w:rsidR="002C6DE2" w:rsidRPr="002C6DE2" w:rsidRDefault="002C6DE2" w:rsidP="00DE45AA">
      <w:pPr>
        <w:pStyle w:val="Referencenonumbers"/>
        <w:divId w:val="2101640441"/>
      </w:pPr>
      <w:r w:rsidRPr="002C6DE2">
        <w:t>[10]</w:t>
      </w:r>
      <w:r w:rsidRPr="002C6DE2">
        <w:tab/>
        <w:t xml:space="preserve">J. W. Tukey, </w:t>
      </w:r>
      <w:r w:rsidRPr="002C6DE2">
        <w:rPr>
          <w:i/>
          <w:iCs/>
        </w:rPr>
        <w:t>Exploratory Data Analysis</w:t>
      </w:r>
      <w:r w:rsidRPr="002C6DE2">
        <w:t>. Addison-Wesley, 1977.</w:t>
      </w:r>
    </w:p>
    <w:p w14:paraId="6A4DF62C" w14:textId="77777777" w:rsidR="002C6DE2" w:rsidRPr="002C6DE2" w:rsidRDefault="002C6DE2" w:rsidP="00DE45AA">
      <w:pPr>
        <w:pStyle w:val="Referencenonumbers"/>
        <w:divId w:val="2101640441"/>
      </w:pPr>
      <w:r w:rsidRPr="002C6DE2">
        <w:t>[11]</w:t>
      </w:r>
      <w:r w:rsidRPr="002C6DE2">
        <w:tab/>
        <w:t xml:space="preserve">E. Limpert, W. a. Stahel, and M. Abbt, “Log-normal Distributions across the Sciences: Keys and Clues,” </w:t>
      </w:r>
      <w:r w:rsidRPr="002C6DE2">
        <w:rPr>
          <w:i/>
          <w:iCs/>
        </w:rPr>
        <w:t>Bioscience</w:t>
      </w:r>
      <w:r w:rsidRPr="002C6DE2">
        <w:t>, vol. 51, no. 5, p. 341, 2001.</w:t>
      </w:r>
    </w:p>
    <w:p w14:paraId="4BE9F80F" w14:textId="77777777" w:rsidR="002C6DE2" w:rsidRPr="002C6DE2" w:rsidRDefault="002C6DE2" w:rsidP="00DE45AA">
      <w:pPr>
        <w:pStyle w:val="Referencenonumbers"/>
        <w:divId w:val="2101640441"/>
      </w:pPr>
      <w:r w:rsidRPr="002C6DE2">
        <w:t>[12]</w:t>
      </w:r>
      <w:r w:rsidRPr="002C6DE2">
        <w:tab/>
        <w:t xml:space="preserve">R. A. Rigby and D. M. Stasinopoulos, “Generalized additive models for location, scale, and shape,” </w:t>
      </w:r>
      <w:r w:rsidRPr="002C6DE2">
        <w:rPr>
          <w:i/>
          <w:iCs/>
        </w:rPr>
        <w:t>Appl. Stat.</w:t>
      </w:r>
      <w:r w:rsidRPr="002C6DE2">
        <w:t>, vol. 54, no. 3, pp. 507–554, 2005.</w:t>
      </w:r>
    </w:p>
    <w:p w14:paraId="69DE3DE0" w14:textId="77777777" w:rsidR="002C6DE2" w:rsidRPr="002C6DE2" w:rsidRDefault="002C6DE2" w:rsidP="00DE45AA">
      <w:pPr>
        <w:pStyle w:val="Referencenonumbers"/>
        <w:divId w:val="2101640441"/>
      </w:pPr>
      <w:r w:rsidRPr="002C6DE2">
        <w:t>[13]</w:t>
      </w:r>
      <w:r w:rsidRPr="002C6DE2">
        <w:tab/>
        <w:t xml:space="preserve">G. E. P. Box and D. R. Cox, “An analysis of transformations,” </w:t>
      </w:r>
      <w:r w:rsidRPr="002C6DE2">
        <w:rPr>
          <w:i/>
          <w:iCs/>
        </w:rPr>
        <w:t>J. R. Stat. Soc. Ser. B</w:t>
      </w:r>
      <w:r w:rsidRPr="002C6DE2">
        <w:t>, vol. 26, no. 2, pp. 211–252, 1964.</w:t>
      </w:r>
    </w:p>
    <w:p w14:paraId="0DF89FD5" w14:textId="77777777" w:rsidR="002C6DE2" w:rsidRPr="002C6DE2" w:rsidRDefault="002C6DE2" w:rsidP="00DE45AA">
      <w:pPr>
        <w:pStyle w:val="Referencenonumbers"/>
        <w:divId w:val="2101640441"/>
      </w:pPr>
      <w:r w:rsidRPr="002C6DE2">
        <w:t>[14]</w:t>
      </w:r>
      <w:r w:rsidRPr="002C6DE2">
        <w:tab/>
        <w:t xml:space="preserve">M. Stone, “An Asymptotic Equivalence of Choice of Model by Cross-Validation and Akaike’s Criterion,” </w:t>
      </w:r>
      <w:r w:rsidRPr="002C6DE2">
        <w:rPr>
          <w:i/>
          <w:iCs/>
        </w:rPr>
        <w:t>J. R. Stat. Soc. Ser. B</w:t>
      </w:r>
      <w:r w:rsidRPr="002C6DE2">
        <w:t>, vol. 39, no. 1, pp. 44–47, 1977.</w:t>
      </w:r>
    </w:p>
    <w:p w14:paraId="16185F9C" w14:textId="77777777" w:rsidR="002C6DE2" w:rsidRPr="002C6DE2" w:rsidRDefault="002C6DE2" w:rsidP="00DE45AA">
      <w:pPr>
        <w:pStyle w:val="Referencenonumbers"/>
        <w:divId w:val="2101640441"/>
      </w:pPr>
      <w:r w:rsidRPr="002C6DE2">
        <w:t>[15]</w:t>
      </w:r>
      <w:r w:rsidRPr="002C6DE2">
        <w:tab/>
        <w:t xml:space="preserve">A. E. Raftery and S. M. Lewis, “Comment: One Long Run with Diagnostics: Implementation Strategies for Markov Chain Monte Carlo,” </w:t>
      </w:r>
      <w:r w:rsidRPr="002C6DE2">
        <w:rPr>
          <w:i/>
          <w:iCs/>
        </w:rPr>
        <w:t>Stat. Sci.</w:t>
      </w:r>
      <w:r w:rsidRPr="002C6DE2">
        <w:t>, vol. 7, no. 4, pp. 493–497, 1992.</w:t>
      </w:r>
    </w:p>
    <w:p w14:paraId="4018A41C" w14:textId="77777777" w:rsidR="002C6DE2" w:rsidRPr="002C6DE2" w:rsidRDefault="002C6DE2" w:rsidP="00DE45AA">
      <w:pPr>
        <w:pStyle w:val="Referencenonumbers"/>
        <w:divId w:val="2101640441"/>
      </w:pPr>
      <w:r w:rsidRPr="002C6DE2">
        <w:t>[16]</w:t>
      </w:r>
      <w:r w:rsidRPr="002C6DE2">
        <w:tab/>
        <w:t xml:space="preserve">A. Gelman and D. B. Rubin, “lnference from Iterative Simulation Using Multiple Sequences,” </w:t>
      </w:r>
      <w:r w:rsidRPr="002C6DE2">
        <w:rPr>
          <w:i/>
          <w:iCs/>
        </w:rPr>
        <w:t>Stat. Sci.</w:t>
      </w:r>
      <w:r w:rsidRPr="002C6DE2">
        <w:t xml:space="preserve">, vol. 7, no. 4, pp. 457–472, 1992. </w:t>
      </w:r>
    </w:p>
    <w:p w14:paraId="4F04B74D" w14:textId="2E8D3EF4" w:rsidR="00BF4F16" w:rsidRPr="0068288C" w:rsidRDefault="00CA5B68" w:rsidP="00C95F6C">
      <w:pPr>
        <w:pStyle w:val="Referencenonumbers"/>
      </w:pPr>
      <w:r w:rsidRPr="00AF146E">
        <w:fldChar w:fldCharType="end"/>
      </w:r>
      <w:bookmarkEnd w:id="29"/>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EC4281" w:rsidRDefault="00EC4281" w:rsidP="00C95F6C">
      <w:pPr>
        <w:pStyle w:val="CommentText"/>
      </w:pPr>
      <w:r w:rsidRPr="00B04E3D">
        <w:rPr>
          <w:rStyle w:val="CommentReference"/>
          <w:b/>
        </w:rPr>
        <w:annotationRef/>
      </w:r>
      <w:r w:rsidRPr="00EC4281">
        <w:rPr>
          <w:b/>
          <w:highlight w:val="yellow"/>
        </w:rPr>
        <w:t>Jeff</w:t>
      </w:r>
      <w:r w:rsidRPr="00EC4281">
        <w:rPr>
          <w:highlight w:val="yellow"/>
        </w:rPr>
        <w:t xml:space="preserve">: Intro is good start, but might benefit from a bit wider scope. Maybe spend a little more time on the "funnel in" to discuss issues of </w:t>
      </w:r>
      <w:proofErr w:type="spellStart"/>
      <w:r w:rsidRPr="00EC4281">
        <w:rPr>
          <w:highlight w:val="yellow"/>
        </w:rPr>
        <w:t>modeling</w:t>
      </w:r>
      <w:proofErr w:type="spellEnd"/>
      <w:r w:rsidRPr="00EC4281">
        <w:rPr>
          <w:highlight w:val="yellow"/>
        </w:rPr>
        <w:t xml:space="preserve">, individual differences, </w:t>
      </w:r>
      <w:proofErr w:type="spellStart"/>
      <w:r w:rsidRPr="00EC4281">
        <w:rPr>
          <w:highlight w:val="yellow"/>
        </w:rPr>
        <w:t>etc</w:t>
      </w:r>
      <w:proofErr w:type="spellEnd"/>
      <w:r w:rsidRPr="00EC4281">
        <w:rPr>
          <w:highlight w:val="yellow"/>
        </w:rPr>
        <w:t xml:space="preserve"> in the large before transitioning to specifics of Harrison et al.</w:t>
      </w:r>
    </w:p>
  </w:comment>
  <w:comment w:id="1" w:author="Matthew Kay" w:date="2015-03-26T16:34:00Z" w:initials="MK">
    <w:p w14:paraId="317923CE" w14:textId="23F6544C" w:rsidR="00EC4281" w:rsidRDefault="00EC4281" w:rsidP="00C95F6C">
      <w:pPr>
        <w:pStyle w:val="CommentText"/>
      </w:pPr>
      <w:r w:rsidRPr="00806471">
        <w:rPr>
          <w:rStyle w:val="CommentReference"/>
          <w:b/>
        </w:rPr>
        <w:annotationRef/>
      </w:r>
      <w:r w:rsidRPr="00EC4281">
        <w:rPr>
          <w:b/>
          <w:highlight w:val="yellow"/>
        </w:rPr>
        <w:t xml:space="preserve">Jeff: </w:t>
      </w:r>
      <w:r w:rsidRPr="00EC4281">
        <w:rPr>
          <w:highlight w:val="yellow"/>
        </w:rPr>
        <w:t>The paragraph makes this same point in two places. Can we briefly state *why* this is more difficult with non-parametric tests?</w:t>
      </w:r>
    </w:p>
  </w:comment>
  <w:comment w:id="3" w:author="Matthew Kay" w:date="2015-03-30T19:02:00Z" w:initials="MK">
    <w:p w14:paraId="08D31AF8" w14:textId="77777777" w:rsidR="00EC4281" w:rsidRPr="00EC4281" w:rsidRDefault="00EC4281" w:rsidP="006E1133">
      <w:pPr>
        <w:pStyle w:val="ListParagraph"/>
        <w:numPr>
          <w:ilvl w:val="0"/>
          <w:numId w:val="47"/>
        </w:numPr>
      </w:pPr>
      <w:r>
        <w:rPr>
          <w:rStyle w:val="CommentReference"/>
        </w:rPr>
        <w:annotationRef/>
      </w:r>
      <w:r w:rsidRPr="00EC4281">
        <w:t>Might be some useful pieces about perceptual laws to put in here. The controversy around them might be most useful, etc. Known limitations of that approach (e.g. stuff about power laws for judging area?)</w:t>
      </w:r>
    </w:p>
    <w:p w14:paraId="3445316A" w14:textId="25BE58CA" w:rsidR="00EC4281" w:rsidRDefault="00EC4281" w:rsidP="00C95F6C">
      <w:pPr>
        <w:pStyle w:val="CommentText"/>
      </w:pPr>
      <w:r w:rsidRPr="00EC4281">
        <w:rPr>
          <w:b/>
        </w:rPr>
        <w:t>Jeff</w:t>
      </w:r>
      <w:r w:rsidRPr="00EC4281">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6" w:author="Matthew Kay" w:date="2015-03-20T21:50:00Z" w:initials="MK">
    <w:p w14:paraId="2C366DD4" w14:textId="77777777" w:rsidR="00EC4281" w:rsidRDefault="00EC4281" w:rsidP="00C95F6C">
      <w:pPr>
        <w:pStyle w:val="CommentText"/>
      </w:pPr>
      <w:r>
        <w:rPr>
          <w:rStyle w:val="CommentReference"/>
        </w:rPr>
        <w:annotationRef/>
      </w:r>
      <w:r w:rsidRPr="00EC4281">
        <w:rPr>
          <w:highlight w:val="yellow"/>
        </w:rPr>
        <w:t>Might want to revisit this claim to make sure</w:t>
      </w:r>
    </w:p>
  </w:comment>
  <w:comment w:id="22" w:author="Matthew Kay" w:date="2015-03-26T16:36:00Z" w:initials="MK">
    <w:p w14:paraId="515D958E" w14:textId="0126FEE1" w:rsidR="00EC4281" w:rsidRDefault="00EC4281" w:rsidP="00C95F6C">
      <w:pPr>
        <w:pStyle w:val="CommentText"/>
      </w:pPr>
      <w:r w:rsidRPr="00806471">
        <w:rPr>
          <w:b/>
        </w:rPr>
        <w:t xml:space="preserve">Jeff: </w:t>
      </w:r>
      <w:r>
        <w:rPr>
          <w:rStyle w:val="CommentReference"/>
        </w:rPr>
        <w:annotationRef/>
      </w:r>
      <w:r w:rsidRPr="00806471">
        <w:t xml:space="preserve"> might be worth including relevant citations here (the Keep it Maximal paper, maybe our latency paper from last year and/or our CHI'13 paper on language translation).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3445316A" w15:done="0"/>
  <w15:commentEx w15:paraId="2C366DD4" w15:done="0"/>
  <w15:commentEx w15:paraId="515D958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C71786" w14:textId="77777777" w:rsidR="000F2B97" w:rsidRDefault="000F2B97" w:rsidP="00C95F6C">
      <w:r>
        <w:separator/>
      </w:r>
    </w:p>
  </w:endnote>
  <w:endnote w:type="continuationSeparator" w:id="0">
    <w:p w14:paraId="56C1EAEB" w14:textId="77777777" w:rsidR="000F2B97" w:rsidRDefault="000F2B97"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EC4281" w:rsidRDefault="00EC4281"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3D4EEC" w14:textId="77777777" w:rsidR="000F2B97" w:rsidRDefault="000F2B97" w:rsidP="00C95F6C">
      <w:r>
        <w:separator/>
      </w:r>
    </w:p>
  </w:footnote>
  <w:footnote w:type="continuationSeparator" w:id="0">
    <w:p w14:paraId="1532536D" w14:textId="77777777" w:rsidR="000F2B97" w:rsidRDefault="000F2B97" w:rsidP="00C95F6C">
      <w:r>
        <w:continuationSeparator/>
      </w:r>
    </w:p>
  </w:footnote>
  <w:footnote w:id="1">
    <w:p w14:paraId="5837AB95" w14:textId="64CC85AD" w:rsidR="00EC4281" w:rsidRDefault="00EC4281"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rsidR="002C6DE2">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"[12]", "plainTextFormattedCitation" : "[12]", "previouslyFormattedCitation" : "[12]" }, "properties" : { "noteIndex" : 0 }, "schema" : "https://github.com/citation-style-language/schema/raw/master/csl-citation.json" }</w:instrText>
      </w:r>
      <w:r>
        <w:fldChar w:fldCharType="separate"/>
      </w:r>
      <w:r w:rsidRPr="00D87AE0">
        <w:rPr>
          <w:noProof/>
        </w:rPr>
        <w:t>[12]</w:t>
      </w:r>
      <w:r>
        <w:fldChar w:fldCharType="end"/>
      </w:r>
      <w:r>
        <w:t>.</w:t>
      </w:r>
    </w:p>
  </w:footnote>
  <w:footnote w:id="2">
    <w:p w14:paraId="079BEB0B" w14:textId="7F014530" w:rsidR="00EC4281" w:rsidRPr="00645A2C" w:rsidRDefault="00EC4281" w:rsidP="006E1133">
      <w:pPr>
        <w:pStyle w:val="FOOTNOTE0"/>
      </w:pPr>
      <w:r>
        <w:rPr>
          <w:rStyle w:val="FootnoteReference"/>
        </w:rPr>
        <w:footnoteRef/>
      </w:r>
      <w:r>
        <w:t xml:space="preserve"> We can more systematically justify this transformation by fitting a Box-Cox transformation </w:t>
      </w:r>
      <w:r>
        <w:fldChar w:fldCharType="begin" w:fldLock="1"/>
      </w:r>
      <w:r w:rsidR="002C6DE2">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"[13]", "plainTextFormattedCitation" : "[13]", "previouslyFormattedCitation" : "[13]" }, "properties" : { "noteIndex" : 0 }, "schema" : "https://github.com/citation-style-language/schema/raw/master/csl-citation.json" }</w:instrText>
      </w:r>
      <w:r>
        <w:fldChar w:fldCharType="separate"/>
      </w:r>
      <w:r w:rsidRPr="00D87AE0">
        <w:rPr>
          <w:noProof/>
        </w:rPr>
        <w:t>[13]</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002B062E">
        <w:t xml:space="preserve"> </w:t>
      </w:r>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4A917047" w:rsidR="00EC4281" w:rsidRPr="004B5468" w:rsidRDefault="00EC4281"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rsidR="002C6DE2">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"[14]", "plainTextFormattedCitation" : "[14]", "previouslyFormattedCitation" : "[14]" }, "properties" : { "noteIndex" : 0 }, "schema" : "https://github.com/citation-style-language/schema/raw/master/csl-citation.json" }</w:instrText>
      </w:r>
      <w:r w:rsidRPr="00DA164E">
        <w:fldChar w:fldCharType="separate"/>
      </w:r>
      <w:r w:rsidRPr="00D87AE0">
        <w:rPr>
          <w:noProof/>
        </w:rPr>
        <w:t>[14]</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EC4281" w:rsidRDefault="00EC4281"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EC4281" w:rsidRDefault="00EC4281"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EC4281" w:rsidRDefault="00EC4281" w:rsidP="006E1133">
      <w:pPr>
        <w:pStyle w:val="FOOTNOTE0"/>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678F2B94" w:rsidR="00EC4281" w:rsidRDefault="00EC4281"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rsidR="002C6DE2">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"[15]", "plainTextFormattedCitation" : "[15]", "previouslyFormattedCitation" : "[15]" }, "properties" : { "noteIndex" : 0 }, "schema" : "https://github.com/citation-style-language/schema/raw/master/csl-citation.json" }</w:instrText>
      </w:r>
      <w:r>
        <w:fldChar w:fldCharType="separate"/>
      </w:r>
      <w:r w:rsidRPr="00D87AE0">
        <w:rPr>
          <w:noProof/>
        </w:rPr>
        <w:t>[15]</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DE242E">
        <w:t>5</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rsidR="002C6DE2">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"[16]", "plainTextFormattedCitation" : "[16]", "previouslyFormattedCitation" : "[16]" }, "properties" : { "noteIndex" : 0 }, "schema" : "https://github.com/citation-style-language/schema/raw/master/csl-citation.json" }</w:instrText>
      </w:r>
      <w:r>
        <w:fldChar w:fldCharType="separate"/>
      </w:r>
      <w:r w:rsidRPr="00D87AE0">
        <w:rPr>
          <w:noProof/>
        </w:rPr>
        <w:t>[16]</w:t>
      </w:r>
      <w:r>
        <w:fldChar w:fldCharType="end"/>
      </w:r>
      <w:r>
        <w:t xml:space="preserve"> (multivariate potential scale reduction factor &lt; 1.05).</w:t>
      </w:r>
    </w:p>
  </w:footnote>
  <w:footnote w:id="8">
    <w:p w14:paraId="0D517530" w14:textId="77777777" w:rsidR="00EC4281" w:rsidRDefault="00EC4281"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61E9A"/>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F85"/>
    <w:rsid w:val="00281009"/>
    <w:rsid w:val="002A0313"/>
    <w:rsid w:val="002B062E"/>
    <w:rsid w:val="002C08A6"/>
    <w:rsid w:val="002C6DE2"/>
    <w:rsid w:val="002D2C33"/>
    <w:rsid w:val="002E5C04"/>
    <w:rsid w:val="00313909"/>
    <w:rsid w:val="00314127"/>
    <w:rsid w:val="003145F7"/>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556D"/>
    <w:rsid w:val="003F2246"/>
    <w:rsid w:val="003F4581"/>
    <w:rsid w:val="00401EDB"/>
    <w:rsid w:val="00405D39"/>
    <w:rsid w:val="00423F2A"/>
    <w:rsid w:val="00436C54"/>
    <w:rsid w:val="004444C4"/>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7F6A"/>
    <w:rsid w:val="0057232C"/>
    <w:rsid w:val="00584487"/>
    <w:rsid w:val="00595BAE"/>
    <w:rsid w:val="005A2D93"/>
    <w:rsid w:val="005A4756"/>
    <w:rsid w:val="005A501A"/>
    <w:rsid w:val="005A5673"/>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A5"/>
    <w:rsid w:val="00701E02"/>
    <w:rsid w:val="0070541A"/>
    <w:rsid w:val="00706A57"/>
    <w:rsid w:val="00714725"/>
    <w:rsid w:val="007251F6"/>
    <w:rsid w:val="007336F6"/>
    <w:rsid w:val="00740D1E"/>
    <w:rsid w:val="0075669D"/>
    <w:rsid w:val="007C550A"/>
    <w:rsid w:val="007C7145"/>
    <w:rsid w:val="007D0B04"/>
    <w:rsid w:val="007D4522"/>
    <w:rsid w:val="007E080A"/>
    <w:rsid w:val="007E1A8B"/>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17E"/>
    <w:rsid w:val="009B0E57"/>
    <w:rsid w:val="009B0E8B"/>
    <w:rsid w:val="009C3B37"/>
    <w:rsid w:val="009C4344"/>
    <w:rsid w:val="009C67F7"/>
    <w:rsid w:val="009D2255"/>
    <w:rsid w:val="009F09AD"/>
    <w:rsid w:val="009F45A1"/>
    <w:rsid w:val="009F51B0"/>
    <w:rsid w:val="009F6F78"/>
    <w:rsid w:val="00A044FC"/>
    <w:rsid w:val="00A062D9"/>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B75C6"/>
    <w:rsid w:val="00AE2021"/>
    <w:rsid w:val="00AE7063"/>
    <w:rsid w:val="00AF146E"/>
    <w:rsid w:val="00B04E3D"/>
    <w:rsid w:val="00B07FD6"/>
    <w:rsid w:val="00B227A1"/>
    <w:rsid w:val="00B240BE"/>
    <w:rsid w:val="00B2648F"/>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C4281"/>
    <w:rsid w:val="00ED53B9"/>
    <w:rsid w:val="00EE0A4D"/>
    <w:rsid w:val="00EE5282"/>
    <w:rsid w:val="00F0178A"/>
    <w:rsid w:val="00F20817"/>
    <w:rsid w:val="00F446D9"/>
    <w:rsid w:val="00F44CC1"/>
    <w:rsid w:val="00F50400"/>
    <w:rsid w:val="00F51E9F"/>
    <w:rsid w:val="00F527AC"/>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8.w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image" Target="media/image7.wmf"/><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5" Type="http://schemas.openxmlformats.org/officeDocument/2006/relationships/webSettings" Target="webSettings.xml"/><Relationship Id="rId15" Type="http://schemas.openxmlformats.org/officeDocument/2006/relationships/image" Target="media/image5.wmf"/><Relationship Id="rId10" Type="http://schemas.microsoft.com/office/2011/relationships/commentsExtended" Target="commentsExtended.xml"/><Relationship Id="rId19" Type="http://schemas.openxmlformats.org/officeDocument/2006/relationships/image" Target="media/image9.w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w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0549F-26C9-464B-94AC-519B3FA5F0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14</TotalTime>
  <Pages>9</Pages>
  <Words>12560</Words>
  <Characters>71595</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83988</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2015-03-31T09:49:00Z</cp:lastPrinted>
  <dcterms:created xsi:type="dcterms:W3CDTF">2015-03-31T09:49:00Z</dcterms:created>
  <dcterms:modified xsi:type="dcterms:W3CDTF">2015-03-31T10:03:00Z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